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AEAC6" w14:textId="77777777" w:rsidR="003373FD" w:rsidRPr="003373FD" w:rsidRDefault="003373FD" w:rsidP="003373FD">
      <w:pPr>
        <w:rPr>
          <w:rFonts w:ascii="inherit" w:hAnsi="inherit"/>
          <w:b/>
          <w:sz w:val="32"/>
          <w:szCs w:val="32"/>
        </w:rPr>
      </w:pPr>
      <w:r w:rsidRPr="003373FD">
        <w:rPr>
          <w:rStyle w:val="Textoennegrita"/>
          <w:rFonts w:ascii="inherit" w:hAnsi="inherit" w:cs="Helvetica"/>
          <w:color w:val="333333"/>
          <w:sz w:val="32"/>
          <w:szCs w:val="32"/>
          <w:lang w:val="es-ES"/>
        </w:rPr>
        <w:t>Información adicional por operaciones de compra y venta de vehículos</w:t>
      </w:r>
    </w:p>
    <w:p w14:paraId="797D7E06" w14:textId="77777777" w:rsidR="004C690D" w:rsidRDefault="004C690D" w:rsidP="004C690D">
      <w:pPr>
        <w:shd w:val="clear" w:color="auto" w:fill="FFFFFF"/>
        <w:spacing w:line="165" w:lineRule="atLeast"/>
        <w:rPr>
          <w:rFonts w:ascii="Helvetica" w:hAnsi="Helvetica" w:cs="Helvetica"/>
          <w:color w:val="333333"/>
          <w:sz w:val="23"/>
          <w:szCs w:val="23"/>
          <w:lang w:val="es-ES"/>
        </w:rPr>
      </w:pPr>
      <w:r>
        <w:rPr>
          <w:rFonts w:ascii="Helvetica" w:hAnsi="Helvetica" w:cs="Helvetica"/>
          <w:color w:val="333333"/>
          <w:sz w:val="23"/>
          <w:szCs w:val="23"/>
          <w:lang w:val="es-ES"/>
        </w:rPr>
        <w:t xml:space="preserve">Actualizado: 17 de septiembre de 2018 </w:t>
      </w:r>
    </w:p>
    <w:p w14:paraId="5E58B30D" w14:textId="77777777" w:rsidR="004C690D" w:rsidRDefault="004C690D" w:rsidP="004C690D">
      <w:pPr>
        <w:pStyle w:val="Lista"/>
        <w:spacing w:after="120" w:line="276" w:lineRule="auto"/>
        <w:ind w:left="0" w:firstLine="0"/>
        <w:jc w:val="both"/>
        <w:rPr>
          <w:rFonts w:ascii="Arial" w:hAnsi="Arial" w:cs="Arial"/>
          <w:sz w:val="19"/>
          <w:szCs w:val="19"/>
        </w:rPr>
      </w:pPr>
      <w:r>
        <w:rPr>
          <w:rFonts w:ascii="Arial" w:hAnsi="Arial" w:cs="Arial"/>
          <w:sz w:val="19"/>
          <w:szCs w:val="19"/>
        </w:rPr>
        <w:t xml:space="preserve">Producto de las coordinaciones sostenidas con la Superintendencia Nacional de Registros Públicos – SUNARP, se ha considerado conveniente que las facturas y boletas de venta electrónicas que se emitan por la compra y venta de vehículos incluyan información adicional, que permita la celeridad del correspondiente procedimiento de registro vehicular. </w:t>
      </w:r>
      <w:bookmarkStart w:id="0" w:name="_GoBack"/>
      <w:bookmarkEnd w:id="0"/>
    </w:p>
    <w:p w14:paraId="0BD9D1C4" w14:textId="77777777" w:rsidR="003373FD" w:rsidRDefault="004C690D" w:rsidP="003373FD">
      <w:pPr>
        <w:pStyle w:val="Lista"/>
        <w:spacing w:after="120" w:line="276" w:lineRule="auto"/>
        <w:ind w:left="0" w:firstLine="0"/>
        <w:jc w:val="both"/>
        <w:rPr>
          <w:rFonts w:ascii="Arial" w:hAnsi="Arial" w:cs="Arial"/>
          <w:sz w:val="19"/>
          <w:szCs w:val="19"/>
        </w:rPr>
      </w:pPr>
      <w:r>
        <w:rPr>
          <w:rFonts w:ascii="Arial" w:hAnsi="Arial" w:cs="Arial"/>
          <w:sz w:val="19"/>
          <w:szCs w:val="19"/>
        </w:rPr>
        <w:t xml:space="preserve">En ese sentido, le recomendamos que al emitir comprobantes de pago (electrónicos) que sustenten operaciones como las señaladas anteriormente, tanto en la versión </w:t>
      </w:r>
      <w:r w:rsidR="003373FD">
        <w:rPr>
          <w:rFonts w:ascii="Arial" w:hAnsi="Arial" w:cs="Arial"/>
          <w:sz w:val="19"/>
          <w:szCs w:val="19"/>
        </w:rPr>
        <w:t xml:space="preserve">UBL </w:t>
      </w:r>
      <w:r>
        <w:rPr>
          <w:rFonts w:ascii="Arial" w:hAnsi="Arial" w:cs="Arial"/>
          <w:sz w:val="19"/>
          <w:szCs w:val="19"/>
        </w:rPr>
        <w:t>2.0 y 2.1, considere la</w:t>
      </w:r>
      <w:r w:rsidR="003373FD">
        <w:rPr>
          <w:rFonts w:ascii="Arial" w:hAnsi="Arial" w:cs="Arial"/>
          <w:sz w:val="19"/>
          <w:szCs w:val="19"/>
        </w:rPr>
        <w:t xml:space="preserve"> siguiente información:</w:t>
      </w:r>
    </w:p>
    <w:p w14:paraId="3E511017" w14:textId="77777777" w:rsidR="003373FD" w:rsidRDefault="00210086" w:rsidP="003373FD">
      <w:pPr>
        <w:rPr>
          <w:rFonts w:ascii="Myriad Pro Bold" w:hAnsi="Myriad Pro Bold" w:cs="Helvetica"/>
          <w:b/>
          <w:smallCaps/>
          <w:color w:val="0072BD"/>
          <w:sz w:val="18"/>
          <w:szCs w:val="18"/>
          <w:lang w:val="es-ES"/>
        </w:rPr>
      </w:pPr>
      <w:r>
        <w:rPr>
          <w:rFonts w:ascii="Myriad Pro Bold" w:hAnsi="Myriad Pro Bold" w:cs="Helvetica"/>
          <w:b/>
          <w:smallCaps/>
          <w:color w:val="0072BD"/>
          <w:sz w:val="18"/>
          <w:szCs w:val="18"/>
          <w:lang w:val="es-ES"/>
        </w:rPr>
        <w:t xml:space="preserve">ARCHIVO DE VALIDACION: FACTURAS y BOLETAS CON UBL 2.0 Y 2.1 - </w:t>
      </w:r>
      <w:r w:rsidRPr="003373FD">
        <w:rPr>
          <w:rFonts w:ascii="Myriad Pro Bold" w:hAnsi="Myriad Pro Bold" w:cs="Helvetica"/>
          <w:b/>
          <w:smallCaps/>
          <w:color w:val="0072BD"/>
          <w:sz w:val="18"/>
          <w:szCs w:val="18"/>
          <w:lang w:val="es-ES"/>
        </w:rPr>
        <w:t>CATALOGO 55</w:t>
      </w:r>
    </w:p>
    <w:bookmarkStart w:id="1" w:name="_MON_1598879763"/>
    <w:bookmarkEnd w:id="1"/>
    <w:p w14:paraId="46E30B8F" w14:textId="77777777" w:rsidR="00613444" w:rsidRDefault="00620677" w:rsidP="00613444">
      <w:pPr>
        <w:keepNext/>
      </w:pPr>
      <w:r>
        <w:rPr>
          <w:rFonts w:ascii="Myriad Pro Bold" w:hAnsi="Myriad Pro Bold" w:cs="Helvetica"/>
          <w:b/>
          <w:smallCaps/>
          <w:color w:val="0072BD"/>
          <w:sz w:val="18"/>
          <w:szCs w:val="18"/>
          <w:lang w:val="es-ES"/>
        </w:rPr>
        <w:object w:dxaOrig="1531" w:dyaOrig="1002" w14:anchorId="43040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6" o:title=""/>
          </v:shape>
          <o:OLEObject Type="Embed" ProgID="Excel.Sheet.12" ShapeID="_x0000_i1027" DrawAspect="Icon" ObjectID="_1598964201" r:id="rId7"/>
        </w:object>
      </w:r>
    </w:p>
    <w:p w14:paraId="0F3F588D" w14:textId="77777777" w:rsidR="004C690D" w:rsidRDefault="004C690D" w:rsidP="004C690D">
      <w:pPr>
        <w:pStyle w:val="Lista"/>
        <w:spacing w:after="120" w:line="276" w:lineRule="auto"/>
        <w:ind w:left="0" w:firstLine="0"/>
        <w:jc w:val="both"/>
        <w:rPr>
          <w:rFonts w:ascii="Arial" w:hAnsi="Arial" w:cs="Arial"/>
          <w:sz w:val="19"/>
          <w:szCs w:val="19"/>
        </w:rPr>
      </w:pPr>
    </w:p>
    <w:p w14:paraId="0C34C668" w14:textId="77777777" w:rsidR="004C690D" w:rsidRDefault="004C690D" w:rsidP="004C690D">
      <w:pPr>
        <w:jc w:val="both"/>
        <w:rPr>
          <w:b/>
        </w:rPr>
      </w:pPr>
      <w:r>
        <w:rPr>
          <w:b/>
        </w:rPr>
        <w:t xml:space="preserve">BASE LEGAL </w:t>
      </w:r>
    </w:p>
    <w:p w14:paraId="5FAC4B90" w14:textId="77777777" w:rsidR="004C690D" w:rsidRPr="00D0223E" w:rsidRDefault="00620677" w:rsidP="003373FD">
      <w:pPr>
        <w:pStyle w:val="Prrafodelista"/>
        <w:numPr>
          <w:ilvl w:val="0"/>
          <w:numId w:val="1"/>
        </w:numPr>
        <w:spacing w:after="0"/>
        <w:jc w:val="both"/>
        <w:rPr>
          <w:b/>
        </w:rPr>
      </w:pPr>
      <w:hyperlink r:id="rId8" w:history="1">
        <w:r w:rsidR="004C690D" w:rsidRPr="00210086">
          <w:rPr>
            <w:rStyle w:val="Hipervnculo"/>
            <w:b/>
          </w:rPr>
          <w:t>Resolución del Superintendente Nacional de los Registros Públicos N.º 085-2014-SUNARP/DTR Aprueban “Lineamientos para la presentación y calificación de comprobantes de pago electrónicos en el Registro de Propiedad Vehicular”</w:t>
        </w:r>
      </w:hyperlink>
    </w:p>
    <w:p w14:paraId="6FDBAD99" w14:textId="77777777" w:rsidR="004C690D" w:rsidRDefault="004C690D" w:rsidP="003373FD">
      <w:pPr>
        <w:spacing w:after="0"/>
        <w:ind w:left="708"/>
      </w:pPr>
      <w:r>
        <w:t>...</w:t>
      </w:r>
    </w:p>
    <w:p w14:paraId="599FC210" w14:textId="77777777" w:rsidR="004C690D" w:rsidRPr="004C690D" w:rsidRDefault="004C690D" w:rsidP="003373FD">
      <w:pPr>
        <w:spacing w:after="0" w:line="240" w:lineRule="auto"/>
        <w:ind w:left="708"/>
        <w:rPr>
          <w:sz w:val="18"/>
        </w:rPr>
      </w:pPr>
      <w:r w:rsidRPr="004C690D">
        <w:rPr>
          <w:sz w:val="18"/>
        </w:rPr>
        <w:t>5.3. Contenido del correo electrónico</w:t>
      </w:r>
    </w:p>
    <w:p w14:paraId="60E4C6D6" w14:textId="77777777" w:rsidR="004C690D" w:rsidRPr="004C690D" w:rsidRDefault="004C690D" w:rsidP="003373FD">
      <w:pPr>
        <w:spacing w:after="0" w:line="240" w:lineRule="auto"/>
        <w:ind w:left="708"/>
        <w:rPr>
          <w:sz w:val="18"/>
        </w:rPr>
      </w:pPr>
      <w:r w:rsidRPr="004C690D">
        <w:rPr>
          <w:sz w:val="18"/>
        </w:rPr>
        <w:t>El administrado deberá enviar por correo electrónico sólo un archivo XML del comprobante de pago electrónico, indicando obligatoriamente la siguiente información:</w:t>
      </w:r>
    </w:p>
    <w:p w14:paraId="43ACF694" w14:textId="77777777" w:rsidR="004C690D" w:rsidRPr="004C690D" w:rsidRDefault="004C690D" w:rsidP="003373FD">
      <w:pPr>
        <w:spacing w:after="0" w:line="240" w:lineRule="auto"/>
        <w:ind w:left="708"/>
        <w:rPr>
          <w:sz w:val="18"/>
        </w:rPr>
      </w:pPr>
      <w:r w:rsidRPr="004C690D">
        <w:rPr>
          <w:sz w:val="18"/>
        </w:rPr>
        <w:t>a. El número de título, año y Oficina Registral.</w:t>
      </w:r>
    </w:p>
    <w:p w14:paraId="5D7C68C0" w14:textId="77777777" w:rsidR="004C690D" w:rsidRPr="004C690D" w:rsidRDefault="004C690D" w:rsidP="003373FD">
      <w:pPr>
        <w:spacing w:after="0" w:line="240" w:lineRule="auto"/>
        <w:ind w:left="708"/>
        <w:rPr>
          <w:sz w:val="18"/>
        </w:rPr>
      </w:pPr>
      <w:r w:rsidRPr="004C690D">
        <w:rPr>
          <w:sz w:val="18"/>
        </w:rPr>
        <w:t>b. El tipo y número de comprobante de pago electrónico.</w:t>
      </w:r>
    </w:p>
    <w:p w14:paraId="08CB778D" w14:textId="77777777" w:rsidR="004C690D" w:rsidRPr="004C690D" w:rsidRDefault="004C690D" w:rsidP="003373FD">
      <w:pPr>
        <w:spacing w:after="0" w:line="240" w:lineRule="auto"/>
        <w:ind w:left="708"/>
        <w:rPr>
          <w:sz w:val="18"/>
        </w:rPr>
      </w:pPr>
      <w:r w:rsidRPr="004C690D">
        <w:rPr>
          <w:sz w:val="18"/>
        </w:rPr>
        <w:t>c. El nombre del adquirente.</w:t>
      </w:r>
    </w:p>
    <w:p w14:paraId="00B621FC" w14:textId="77777777" w:rsidR="004C690D" w:rsidRPr="004C690D" w:rsidRDefault="004C690D" w:rsidP="003373FD">
      <w:pPr>
        <w:spacing w:after="0" w:line="240" w:lineRule="auto"/>
        <w:ind w:left="708"/>
        <w:rPr>
          <w:sz w:val="18"/>
        </w:rPr>
      </w:pPr>
      <w:r w:rsidRPr="004C690D">
        <w:rPr>
          <w:sz w:val="18"/>
        </w:rPr>
        <w:t>d. El código VIN del vehículo, o en su defecto, el número de serie.</w:t>
      </w:r>
    </w:p>
    <w:p w14:paraId="66427824" w14:textId="77777777" w:rsidR="004C690D" w:rsidRPr="004C690D" w:rsidRDefault="004C690D" w:rsidP="003373FD">
      <w:pPr>
        <w:spacing w:after="0" w:line="240" w:lineRule="auto"/>
        <w:ind w:left="708"/>
        <w:rPr>
          <w:sz w:val="18"/>
        </w:rPr>
      </w:pPr>
      <w:r w:rsidRPr="004C690D">
        <w:rPr>
          <w:sz w:val="18"/>
        </w:rPr>
        <w:t>A fin de cumplir con la indicación del número de título, el administrado previamente deberá efectuar la presentación de la solicitud de inscripción según el procedimiento ordinario para obtener los datos del asiento</w:t>
      </w:r>
    </w:p>
    <w:p w14:paraId="1F07F4BE" w14:textId="77777777" w:rsidR="004C690D" w:rsidRDefault="004C690D" w:rsidP="003373FD">
      <w:pPr>
        <w:spacing w:after="0" w:line="240" w:lineRule="auto"/>
        <w:ind w:left="708"/>
        <w:rPr>
          <w:sz w:val="18"/>
        </w:rPr>
      </w:pPr>
      <w:r w:rsidRPr="004C690D">
        <w:rPr>
          <w:sz w:val="18"/>
        </w:rPr>
        <w:t>de presentación, que incluye el número de título.</w:t>
      </w:r>
    </w:p>
    <w:p w14:paraId="0F44DF0A" w14:textId="77777777" w:rsidR="003373FD" w:rsidRPr="004C690D" w:rsidRDefault="003373FD" w:rsidP="003373FD">
      <w:pPr>
        <w:spacing w:after="0" w:line="240" w:lineRule="auto"/>
        <w:ind w:left="708"/>
        <w:rPr>
          <w:sz w:val="18"/>
        </w:rPr>
      </w:pPr>
    </w:p>
    <w:p w14:paraId="602D3715" w14:textId="77777777" w:rsidR="004C690D" w:rsidRPr="00D0223E" w:rsidRDefault="00620677" w:rsidP="003373FD">
      <w:pPr>
        <w:pStyle w:val="Prrafodelista"/>
        <w:numPr>
          <w:ilvl w:val="0"/>
          <w:numId w:val="1"/>
        </w:numPr>
        <w:spacing w:after="0"/>
        <w:rPr>
          <w:b/>
        </w:rPr>
      </w:pPr>
      <w:hyperlink r:id="rId9" w:history="1">
        <w:r w:rsidR="004C690D" w:rsidRPr="00210086">
          <w:rPr>
            <w:rStyle w:val="Hipervnculo"/>
            <w:b/>
          </w:rPr>
          <w:t>Resolución del Superintendente Nacional de los Registros Públicos N.º 039-2013-SUNARP-SN "Reglamento de Inscripciones del Registro de Propiedad Vehicular"</w:t>
        </w:r>
      </w:hyperlink>
    </w:p>
    <w:p w14:paraId="41A7002A" w14:textId="77777777" w:rsidR="004C690D" w:rsidRPr="004C690D" w:rsidRDefault="004C690D" w:rsidP="003373FD">
      <w:pPr>
        <w:spacing w:after="0" w:line="240" w:lineRule="auto"/>
        <w:ind w:left="708"/>
        <w:rPr>
          <w:sz w:val="18"/>
          <w:szCs w:val="16"/>
        </w:rPr>
      </w:pPr>
      <w:r w:rsidRPr="004C690D">
        <w:rPr>
          <w:b/>
          <w:sz w:val="18"/>
          <w:szCs w:val="16"/>
        </w:rPr>
        <w:t>Artículo 31.-</w:t>
      </w:r>
      <w:r w:rsidRPr="004C690D">
        <w:rPr>
          <w:sz w:val="18"/>
          <w:szCs w:val="16"/>
        </w:rPr>
        <w:t xml:space="preserve"> Datos técnicos del vehículo contenido en el asiento de inmatriculación</w:t>
      </w:r>
    </w:p>
    <w:p w14:paraId="3EBE1570" w14:textId="77777777" w:rsidR="004C690D" w:rsidRPr="004C690D" w:rsidRDefault="004C690D" w:rsidP="003373FD">
      <w:pPr>
        <w:spacing w:after="0" w:line="240" w:lineRule="auto"/>
        <w:ind w:left="708"/>
        <w:rPr>
          <w:sz w:val="18"/>
          <w:szCs w:val="16"/>
        </w:rPr>
      </w:pPr>
      <w:r w:rsidRPr="004C690D">
        <w:rPr>
          <w:sz w:val="18"/>
          <w:szCs w:val="16"/>
        </w:rPr>
        <w:t>El Registrador deberá consignar en el asiento de inmatriculación del vehículo las siguientes características,</w:t>
      </w:r>
    </w:p>
    <w:p w14:paraId="1D493CC9" w14:textId="77777777" w:rsidR="004C690D" w:rsidRPr="004C690D" w:rsidRDefault="004C690D" w:rsidP="003373FD">
      <w:pPr>
        <w:spacing w:after="0" w:line="240" w:lineRule="auto"/>
        <w:ind w:left="708"/>
        <w:rPr>
          <w:sz w:val="18"/>
          <w:szCs w:val="16"/>
        </w:rPr>
      </w:pPr>
      <w:r w:rsidRPr="004C690D">
        <w:rPr>
          <w:sz w:val="18"/>
          <w:szCs w:val="16"/>
        </w:rPr>
        <w:t>según corresponda:</w:t>
      </w:r>
    </w:p>
    <w:p w14:paraId="1DADAF5B" w14:textId="77777777" w:rsidR="004C690D" w:rsidRPr="003373FD" w:rsidRDefault="004C690D" w:rsidP="003373FD">
      <w:pPr>
        <w:spacing w:after="0"/>
        <w:ind w:left="708"/>
        <w:rPr>
          <w:sz w:val="18"/>
          <w:szCs w:val="16"/>
        </w:rPr>
      </w:pPr>
      <w:r w:rsidRPr="003373FD">
        <w:rPr>
          <w:sz w:val="18"/>
          <w:szCs w:val="16"/>
        </w:rPr>
        <w:t>- Número de matrícula de la placa asignada.</w:t>
      </w:r>
    </w:p>
    <w:p w14:paraId="2B2D02B6" w14:textId="77777777" w:rsidR="004C690D" w:rsidRPr="003373FD" w:rsidRDefault="004C690D" w:rsidP="003373FD">
      <w:pPr>
        <w:spacing w:after="0"/>
        <w:ind w:left="708"/>
        <w:rPr>
          <w:sz w:val="18"/>
          <w:szCs w:val="16"/>
        </w:rPr>
      </w:pPr>
      <w:r w:rsidRPr="003373FD">
        <w:rPr>
          <w:sz w:val="18"/>
          <w:szCs w:val="16"/>
        </w:rPr>
        <w:t>- Declaración Única de Aduanas o Declaración Aduanera de Mercancías (DUA/DAM).</w:t>
      </w:r>
    </w:p>
    <w:p w14:paraId="78CDD2FC" w14:textId="77777777" w:rsidR="004C690D" w:rsidRPr="003373FD" w:rsidRDefault="004C690D" w:rsidP="003373FD">
      <w:pPr>
        <w:spacing w:after="0"/>
        <w:ind w:left="708"/>
        <w:rPr>
          <w:sz w:val="18"/>
          <w:szCs w:val="16"/>
        </w:rPr>
      </w:pPr>
      <w:r w:rsidRPr="003373FD">
        <w:rPr>
          <w:sz w:val="18"/>
          <w:szCs w:val="16"/>
        </w:rPr>
        <w:t xml:space="preserve">- Uso del vehículo, </w:t>
      </w:r>
      <w:proofErr w:type="gramStart"/>
      <w:r w:rsidRPr="003373FD">
        <w:rPr>
          <w:sz w:val="18"/>
          <w:szCs w:val="16"/>
        </w:rPr>
        <w:t>de acuerdo a</w:t>
      </w:r>
      <w:proofErr w:type="gramEnd"/>
      <w:r w:rsidRPr="003373FD">
        <w:rPr>
          <w:sz w:val="18"/>
          <w:szCs w:val="16"/>
        </w:rPr>
        <w:t xml:space="preserve"> la clasificación prevista en el Reglamento de Placa Única Nacional de Rodaje, aprobado por Decreto Supremo </w:t>
      </w:r>
      <w:proofErr w:type="spellStart"/>
      <w:r w:rsidRPr="003373FD">
        <w:rPr>
          <w:sz w:val="18"/>
          <w:szCs w:val="16"/>
        </w:rPr>
        <w:t>Nº</w:t>
      </w:r>
      <w:proofErr w:type="spellEnd"/>
      <w:r w:rsidRPr="003373FD">
        <w:rPr>
          <w:sz w:val="18"/>
          <w:szCs w:val="16"/>
        </w:rPr>
        <w:t xml:space="preserve"> 017-2008-MTC.</w:t>
      </w:r>
    </w:p>
    <w:p w14:paraId="0B2409B5" w14:textId="77777777" w:rsidR="004C690D" w:rsidRPr="003373FD" w:rsidRDefault="004C690D" w:rsidP="003373FD">
      <w:pPr>
        <w:spacing w:after="0"/>
        <w:ind w:left="708"/>
        <w:rPr>
          <w:sz w:val="18"/>
          <w:szCs w:val="16"/>
        </w:rPr>
      </w:pPr>
      <w:r w:rsidRPr="003373FD">
        <w:rPr>
          <w:sz w:val="18"/>
          <w:szCs w:val="16"/>
        </w:rPr>
        <w:t>- Categoría.</w:t>
      </w:r>
    </w:p>
    <w:p w14:paraId="0095177C" w14:textId="77777777" w:rsidR="004C690D" w:rsidRPr="003373FD" w:rsidRDefault="004C690D" w:rsidP="003373FD">
      <w:pPr>
        <w:spacing w:after="0"/>
        <w:ind w:left="708"/>
        <w:rPr>
          <w:sz w:val="18"/>
          <w:szCs w:val="16"/>
        </w:rPr>
      </w:pPr>
      <w:r w:rsidRPr="003373FD">
        <w:rPr>
          <w:sz w:val="18"/>
          <w:szCs w:val="16"/>
        </w:rPr>
        <w:t>- Número VIN.</w:t>
      </w:r>
    </w:p>
    <w:p w14:paraId="72B2A265" w14:textId="77777777" w:rsidR="004C690D" w:rsidRPr="003373FD" w:rsidRDefault="004C690D" w:rsidP="003373FD">
      <w:pPr>
        <w:spacing w:after="0"/>
        <w:ind w:left="708"/>
        <w:rPr>
          <w:sz w:val="18"/>
          <w:szCs w:val="16"/>
        </w:rPr>
      </w:pPr>
      <w:r w:rsidRPr="003373FD">
        <w:rPr>
          <w:sz w:val="18"/>
          <w:szCs w:val="16"/>
        </w:rPr>
        <w:t>- Número de serie o chasis.</w:t>
      </w:r>
    </w:p>
    <w:p w14:paraId="4A0CFF4B" w14:textId="77777777" w:rsidR="004C690D" w:rsidRPr="003373FD" w:rsidRDefault="004C690D" w:rsidP="003373FD">
      <w:pPr>
        <w:spacing w:after="0"/>
        <w:ind w:left="708"/>
        <w:rPr>
          <w:sz w:val="18"/>
          <w:szCs w:val="16"/>
        </w:rPr>
      </w:pPr>
      <w:r w:rsidRPr="003373FD">
        <w:rPr>
          <w:sz w:val="18"/>
          <w:szCs w:val="16"/>
        </w:rPr>
        <w:t>- Número de motor.</w:t>
      </w:r>
    </w:p>
    <w:p w14:paraId="6FAAB656" w14:textId="77777777" w:rsidR="004C690D" w:rsidRPr="003373FD" w:rsidRDefault="004C690D" w:rsidP="003373FD">
      <w:pPr>
        <w:spacing w:after="0"/>
        <w:ind w:left="708"/>
        <w:rPr>
          <w:sz w:val="18"/>
          <w:szCs w:val="16"/>
        </w:rPr>
      </w:pPr>
      <w:r w:rsidRPr="003373FD">
        <w:rPr>
          <w:sz w:val="18"/>
          <w:szCs w:val="16"/>
        </w:rPr>
        <w:t>- Marca.</w:t>
      </w:r>
    </w:p>
    <w:p w14:paraId="0321F622" w14:textId="77777777" w:rsidR="004C690D" w:rsidRPr="003373FD" w:rsidRDefault="004C690D" w:rsidP="003373FD">
      <w:pPr>
        <w:spacing w:after="0"/>
        <w:ind w:left="708"/>
        <w:rPr>
          <w:sz w:val="18"/>
          <w:szCs w:val="16"/>
        </w:rPr>
      </w:pPr>
      <w:r w:rsidRPr="003373FD">
        <w:rPr>
          <w:sz w:val="18"/>
          <w:szCs w:val="16"/>
        </w:rPr>
        <w:t>- Año de fabricación.</w:t>
      </w:r>
    </w:p>
    <w:p w14:paraId="48EC379D" w14:textId="77777777" w:rsidR="004C690D" w:rsidRPr="003373FD" w:rsidRDefault="004C690D" w:rsidP="003373FD">
      <w:pPr>
        <w:spacing w:after="0"/>
        <w:ind w:left="708"/>
        <w:rPr>
          <w:sz w:val="18"/>
          <w:szCs w:val="16"/>
        </w:rPr>
      </w:pPr>
      <w:r w:rsidRPr="003373FD">
        <w:rPr>
          <w:sz w:val="18"/>
          <w:szCs w:val="16"/>
        </w:rPr>
        <w:t>- Modelo.</w:t>
      </w:r>
    </w:p>
    <w:p w14:paraId="291E63E5" w14:textId="77777777" w:rsidR="004C690D" w:rsidRPr="003373FD" w:rsidRDefault="004C690D" w:rsidP="003373FD">
      <w:pPr>
        <w:spacing w:after="0"/>
        <w:ind w:left="708"/>
        <w:rPr>
          <w:sz w:val="18"/>
          <w:szCs w:val="16"/>
        </w:rPr>
      </w:pPr>
      <w:r w:rsidRPr="003373FD">
        <w:rPr>
          <w:sz w:val="18"/>
          <w:szCs w:val="16"/>
        </w:rPr>
        <w:lastRenderedPageBreak/>
        <w:t>- Año del modelo.</w:t>
      </w:r>
    </w:p>
    <w:p w14:paraId="0DEB1B37" w14:textId="77777777" w:rsidR="004C690D" w:rsidRPr="003373FD" w:rsidRDefault="004C690D" w:rsidP="003373FD">
      <w:pPr>
        <w:spacing w:after="0"/>
        <w:ind w:left="708"/>
        <w:rPr>
          <w:sz w:val="18"/>
          <w:szCs w:val="16"/>
        </w:rPr>
      </w:pPr>
      <w:r w:rsidRPr="003373FD">
        <w:rPr>
          <w:sz w:val="18"/>
          <w:szCs w:val="16"/>
        </w:rPr>
        <w:t>- Versión.</w:t>
      </w:r>
    </w:p>
    <w:p w14:paraId="0F7FCA5A" w14:textId="77777777" w:rsidR="004C690D" w:rsidRPr="003373FD" w:rsidRDefault="004C690D" w:rsidP="003373FD">
      <w:pPr>
        <w:spacing w:after="0"/>
        <w:ind w:left="708"/>
        <w:rPr>
          <w:sz w:val="18"/>
          <w:szCs w:val="16"/>
        </w:rPr>
      </w:pPr>
      <w:r w:rsidRPr="003373FD">
        <w:rPr>
          <w:sz w:val="18"/>
          <w:szCs w:val="16"/>
        </w:rPr>
        <w:t>- Color.</w:t>
      </w:r>
    </w:p>
    <w:p w14:paraId="3482891B" w14:textId="77777777" w:rsidR="004C690D" w:rsidRPr="003373FD" w:rsidRDefault="004C690D" w:rsidP="003373FD">
      <w:pPr>
        <w:spacing w:after="0"/>
        <w:ind w:left="708"/>
        <w:rPr>
          <w:sz w:val="18"/>
          <w:szCs w:val="16"/>
        </w:rPr>
      </w:pPr>
      <w:r w:rsidRPr="003373FD">
        <w:rPr>
          <w:sz w:val="18"/>
          <w:szCs w:val="16"/>
        </w:rPr>
        <w:t>- Tipo de carrocería.</w:t>
      </w:r>
    </w:p>
    <w:p w14:paraId="0ED2A34F" w14:textId="77777777" w:rsidR="004C690D" w:rsidRPr="003373FD" w:rsidRDefault="004C690D" w:rsidP="003373FD">
      <w:pPr>
        <w:spacing w:after="0"/>
        <w:ind w:left="708"/>
        <w:rPr>
          <w:sz w:val="18"/>
          <w:szCs w:val="16"/>
        </w:rPr>
      </w:pPr>
      <w:r w:rsidRPr="003373FD">
        <w:rPr>
          <w:sz w:val="18"/>
          <w:szCs w:val="16"/>
        </w:rPr>
        <w:t>- Número de ruedas.</w:t>
      </w:r>
    </w:p>
    <w:p w14:paraId="41CFC0A7" w14:textId="77777777" w:rsidR="004C690D" w:rsidRPr="003373FD" w:rsidRDefault="004C690D" w:rsidP="003373FD">
      <w:pPr>
        <w:spacing w:after="0"/>
        <w:ind w:left="708"/>
        <w:rPr>
          <w:sz w:val="18"/>
          <w:szCs w:val="16"/>
        </w:rPr>
      </w:pPr>
      <w:r w:rsidRPr="003373FD">
        <w:rPr>
          <w:sz w:val="18"/>
          <w:szCs w:val="16"/>
        </w:rPr>
        <w:t>- Número de ejes.</w:t>
      </w:r>
    </w:p>
    <w:p w14:paraId="5A1E8DEC" w14:textId="77777777" w:rsidR="004C690D" w:rsidRPr="003373FD" w:rsidRDefault="004C690D" w:rsidP="003373FD">
      <w:pPr>
        <w:spacing w:after="0"/>
        <w:ind w:left="708"/>
        <w:rPr>
          <w:sz w:val="18"/>
          <w:szCs w:val="16"/>
        </w:rPr>
      </w:pPr>
      <w:r w:rsidRPr="003373FD">
        <w:rPr>
          <w:sz w:val="18"/>
          <w:szCs w:val="16"/>
        </w:rPr>
        <w:t>- Fórmula rodante.</w:t>
      </w:r>
    </w:p>
    <w:p w14:paraId="61378CF8" w14:textId="77777777" w:rsidR="004C690D" w:rsidRPr="003373FD" w:rsidRDefault="004C690D" w:rsidP="003373FD">
      <w:pPr>
        <w:spacing w:after="0"/>
        <w:ind w:left="708"/>
        <w:rPr>
          <w:sz w:val="18"/>
          <w:szCs w:val="16"/>
        </w:rPr>
      </w:pPr>
      <w:r w:rsidRPr="003373FD">
        <w:rPr>
          <w:sz w:val="18"/>
          <w:szCs w:val="16"/>
        </w:rPr>
        <w:t>- Potencia de motor.</w:t>
      </w:r>
    </w:p>
    <w:p w14:paraId="2B27F810" w14:textId="77777777" w:rsidR="004C690D" w:rsidRPr="003373FD" w:rsidRDefault="004C690D" w:rsidP="003373FD">
      <w:pPr>
        <w:spacing w:after="0"/>
        <w:ind w:left="708"/>
        <w:rPr>
          <w:sz w:val="18"/>
          <w:szCs w:val="16"/>
        </w:rPr>
      </w:pPr>
      <w:r w:rsidRPr="003373FD">
        <w:rPr>
          <w:sz w:val="18"/>
          <w:szCs w:val="16"/>
        </w:rPr>
        <w:t>- Combustible.</w:t>
      </w:r>
    </w:p>
    <w:p w14:paraId="37643BDB" w14:textId="77777777" w:rsidR="004C690D" w:rsidRPr="003373FD" w:rsidRDefault="004C690D" w:rsidP="003373FD">
      <w:pPr>
        <w:spacing w:after="0"/>
        <w:ind w:left="708"/>
        <w:rPr>
          <w:sz w:val="18"/>
          <w:szCs w:val="16"/>
        </w:rPr>
      </w:pPr>
      <w:r w:rsidRPr="003373FD">
        <w:rPr>
          <w:sz w:val="18"/>
          <w:szCs w:val="16"/>
        </w:rPr>
        <w:t>- Número de cilindros.</w:t>
      </w:r>
    </w:p>
    <w:p w14:paraId="1B590353" w14:textId="77777777" w:rsidR="004C690D" w:rsidRPr="003373FD" w:rsidRDefault="004C690D" w:rsidP="003373FD">
      <w:pPr>
        <w:spacing w:after="0"/>
        <w:ind w:left="708"/>
        <w:rPr>
          <w:sz w:val="18"/>
          <w:szCs w:val="16"/>
        </w:rPr>
      </w:pPr>
      <w:r w:rsidRPr="003373FD">
        <w:rPr>
          <w:sz w:val="18"/>
          <w:szCs w:val="16"/>
        </w:rPr>
        <w:t>- Cilindrada.</w:t>
      </w:r>
    </w:p>
    <w:p w14:paraId="40E1348F" w14:textId="77777777" w:rsidR="004C690D" w:rsidRPr="003373FD" w:rsidRDefault="004C690D" w:rsidP="003373FD">
      <w:pPr>
        <w:spacing w:after="0"/>
        <w:ind w:left="708"/>
        <w:rPr>
          <w:sz w:val="18"/>
          <w:szCs w:val="16"/>
        </w:rPr>
      </w:pPr>
      <w:r w:rsidRPr="003373FD">
        <w:rPr>
          <w:sz w:val="18"/>
          <w:szCs w:val="16"/>
        </w:rPr>
        <w:t>- Longitud.</w:t>
      </w:r>
    </w:p>
    <w:p w14:paraId="1AAA2EA3" w14:textId="77777777" w:rsidR="004C690D" w:rsidRPr="003373FD" w:rsidRDefault="004C690D" w:rsidP="003373FD">
      <w:pPr>
        <w:spacing w:after="0"/>
        <w:ind w:left="708"/>
        <w:rPr>
          <w:sz w:val="18"/>
          <w:szCs w:val="16"/>
        </w:rPr>
      </w:pPr>
      <w:r w:rsidRPr="003373FD">
        <w:rPr>
          <w:sz w:val="18"/>
          <w:szCs w:val="16"/>
        </w:rPr>
        <w:t>- Ancho.</w:t>
      </w:r>
    </w:p>
    <w:p w14:paraId="0DCBF125" w14:textId="77777777" w:rsidR="004C690D" w:rsidRPr="003373FD" w:rsidRDefault="004C690D" w:rsidP="003373FD">
      <w:pPr>
        <w:spacing w:after="0"/>
        <w:ind w:left="708"/>
        <w:rPr>
          <w:sz w:val="18"/>
          <w:szCs w:val="16"/>
        </w:rPr>
      </w:pPr>
      <w:r w:rsidRPr="003373FD">
        <w:rPr>
          <w:sz w:val="18"/>
          <w:szCs w:val="16"/>
        </w:rPr>
        <w:t>- Altura.</w:t>
      </w:r>
    </w:p>
    <w:p w14:paraId="63EEC852" w14:textId="77777777" w:rsidR="004C690D" w:rsidRPr="003373FD" w:rsidRDefault="004C690D" w:rsidP="003373FD">
      <w:pPr>
        <w:spacing w:after="0"/>
        <w:ind w:left="708"/>
        <w:rPr>
          <w:sz w:val="18"/>
          <w:szCs w:val="16"/>
        </w:rPr>
      </w:pPr>
      <w:r w:rsidRPr="003373FD">
        <w:rPr>
          <w:sz w:val="18"/>
          <w:szCs w:val="16"/>
        </w:rPr>
        <w:t>- Número de asientos.</w:t>
      </w:r>
    </w:p>
    <w:p w14:paraId="5A87CE40" w14:textId="77777777" w:rsidR="004C690D" w:rsidRPr="003373FD" w:rsidRDefault="004C690D" w:rsidP="003373FD">
      <w:pPr>
        <w:spacing w:after="0"/>
        <w:ind w:left="708"/>
        <w:rPr>
          <w:sz w:val="18"/>
          <w:szCs w:val="16"/>
        </w:rPr>
      </w:pPr>
      <w:r w:rsidRPr="003373FD">
        <w:rPr>
          <w:sz w:val="18"/>
          <w:szCs w:val="16"/>
        </w:rPr>
        <w:t>- Número de pasajeros.</w:t>
      </w:r>
    </w:p>
    <w:p w14:paraId="27004CA3" w14:textId="77777777" w:rsidR="004C690D" w:rsidRPr="003373FD" w:rsidRDefault="004C690D" w:rsidP="003373FD">
      <w:pPr>
        <w:spacing w:after="0"/>
        <w:ind w:left="708"/>
        <w:rPr>
          <w:sz w:val="18"/>
          <w:szCs w:val="16"/>
        </w:rPr>
      </w:pPr>
      <w:r w:rsidRPr="003373FD">
        <w:rPr>
          <w:sz w:val="18"/>
          <w:szCs w:val="16"/>
        </w:rPr>
        <w:t>- Peso bruto.</w:t>
      </w:r>
    </w:p>
    <w:p w14:paraId="5188C575" w14:textId="77777777" w:rsidR="004C690D" w:rsidRPr="003373FD" w:rsidRDefault="004C690D" w:rsidP="003373FD">
      <w:pPr>
        <w:spacing w:after="0"/>
        <w:ind w:left="708"/>
        <w:rPr>
          <w:sz w:val="18"/>
          <w:szCs w:val="16"/>
        </w:rPr>
      </w:pPr>
      <w:r w:rsidRPr="003373FD">
        <w:rPr>
          <w:sz w:val="18"/>
          <w:szCs w:val="16"/>
        </w:rPr>
        <w:t>- Peso neto.</w:t>
      </w:r>
    </w:p>
    <w:p w14:paraId="070BF4D8" w14:textId="77777777" w:rsidR="004C690D" w:rsidRPr="003373FD" w:rsidRDefault="004C690D" w:rsidP="003373FD">
      <w:pPr>
        <w:spacing w:after="0"/>
        <w:ind w:left="708"/>
        <w:rPr>
          <w:sz w:val="18"/>
          <w:szCs w:val="16"/>
        </w:rPr>
      </w:pPr>
      <w:r w:rsidRPr="003373FD">
        <w:rPr>
          <w:sz w:val="18"/>
          <w:szCs w:val="16"/>
        </w:rPr>
        <w:t>- Carga útil.</w:t>
      </w:r>
    </w:p>
    <w:p w14:paraId="70BCC60D" w14:textId="77777777" w:rsidR="003373FD" w:rsidRDefault="003373FD" w:rsidP="004C690D">
      <w:pPr>
        <w:spacing w:line="240" w:lineRule="auto"/>
        <w:rPr>
          <w:sz w:val="18"/>
          <w:szCs w:val="16"/>
          <w:lang w:val="es-ES"/>
        </w:rPr>
      </w:pPr>
    </w:p>
    <w:p w14:paraId="1506DAC9" w14:textId="77777777" w:rsidR="003373FD" w:rsidRPr="004C690D" w:rsidRDefault="003373FD" w:rsidP="004C690D">
      <w:pPr>
        <w:spacing w:line="240" w:lineRule="auto"/>
        <w:rPr>
          <w:sz w:val="18"/>
          <w:szCs w:val="16"/>
          <w:lang w:val="es-ES"/>
        </w:rPr>
      </w:pPr>
    </w:p>
    <w:sectPr w:rsidR="003373FD" w:rsidRPr="004C69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Helvetica">
    <w:panose1 w:val="020B0504020202030204"/>
    <w:charset w:val="00"/>
    <w:family w:val="swiss"/>
    <w:pitch w:val="variable"/>
    <w:sig w:usb0="00000007"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Bold">
    <w:altName w:val="Segoe UI"/>
    <w:charset w:val="00"/>
    <w:family w:val="auto"/>
    <w:pitch w:val="default"/>
  </w:font>
  <w:font w:name="Calibri Light">
    <w:panose1 w:val="020F0302020204030204"/>
    <w:charset w:val="00"/>
    <w:family w:val="swiss"/>
    <w:pitch w:val="variable"/>
    <w:sig w:usb0="20000287"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426D7"/>
    <w:multiLevelType w:val="hybridMultilevel"/>
    <w:tmpl w:val="F98AC8E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0D"/>
    <w:rsid w:val="000858E1"/>
    <w:rsid w:val="00210086"/>
    <w:rsid w:val="003373FD"/>
    <w:rsid w:val="004C690D"/>
    <w:rsid w:val="00613444"/>
    <w:rsid w:val="00620677"/>
    <w:rsid w:val="00A367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A59B"/>
  <w15:chartTrackingRefBased/>
  <w15:docId w15:val="{4C06344A-C29A-46E8-BA9A-1B8944C8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690D"/>
    <w:pPr>
      <w:spacing w:after="200" w:line="276" w:lineRule="auto"/>
    </w:pPr>
    <w:rPr>
      <w:rFonts w:ascii="Calibri" w:eastAsia="Calibri" w:hAnsi="Calibri" w:cs="Times New Roman"/>
    </w:rPr>
  </w:style>
  <w:style w:type="paragraph" w:styleId="Ttulo1">
    <w:name w:val="heading 1"/>
    <w:basedOn w:val="Normal"/>
    <w:link w:val="Ttulo1Car"/>
    <w:uiPriority w:val="9"/>
    <w:qFormat/>
    <w:rsid w:val="004C690D"/>
    <w:pPr>
      <w:spacing w:before="450" w:after="150" w:line="240" w:lineRule="auto"/>
      <w:outlineLvl w:val="0"/>
    </w:pPr>
    <w:rPr>
      <w:rFonts w:ascii="inherit" w:eastAsia="Times New Roman" w:hAnsi="inherit"/>
      <w:kern w:val="36"/>
      <w:sz w:val="54"/>
      <w:szCs w:val="5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690D"/>
    <w:rPr>
      <w:color w:val="0000FF"/>
      <w:u w:val="single"/>
    </w:rPr>
  </w:style>
  <w:style w:type="paragraph" w:styleId="Lista">
    <w:name w:val="List"/>
    <w:basedOn w:val="Normal"/>
    <w:unhideWhenUsed/>
    <w:rsid w:val="004C690D"/>
    <w:pPr>
      <w:spacing w:after="0" w:line="240" w:lineRule="auto"/>
      <w:ind w:left="283" w:hanging="283"/>
    </w:pPr>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C690D"/>
    <w:rPr>
      <w:color w:val="954F72" w:themeColor="followedHyperlink"/>
      <w:u w:val="single"/>
    </w:rPr>
  </w:style>
  <w:style w:type="character" w:customStyle="1" w:styleId="Ttulo1Car">
    <w:name w:val="Título 1 Car"/>
    <w:basedOn w:val="Fuentedeprrafopredeter"/>
    <w:link w:val="Ttulo1"/>
    <w:uiPriority w:val="9"/>
    <w:rsid w:val="004C690D"/>
    <w:rPr>
      <w:rFonts w:ascii="inherit" w:eastAsia="Times New Roman" w:hAnsi="inherit" w:cs="Times New Roman"/>
      <w:kern w:val="36"/>
      <w:sz w:val="54"/>
      <w:szCs w:val="54"/>
      <w:lang w:eastAsia="es-PE"/>
    </w:rPr>
  </w:style>
  <w:style w:type="character" w:styleId="Textoennegrita">
    <w:name w:val="Strong"/>
    <w:basedOn w:val="Fuentedeprrafopredeter"/>
    <w:uiPriority w:val="22"/>
    <w:qFormat/>
    <w:rsid w:val="004C690D"/>
    <w:rPr>
      <w:b/>
      <w:bCs/>
    </w:rPr>
  </w:style>
  <w:style w:type="paragraph" w:styleId="NormalWeb">
    <w:name w:val="Normal (Web)"/>
    <w:basedOn w:val="Normal"/>
    <w:uiPriority w:val="99"/>
    <w:semiHidden/>
    <w:unhideWhenUsed/>
    <w:rsid w:val="004C690D"/>
    <w:pPr>
      <w:spacing w:after="150" w:line="240" w:lineRule="auto"/>
    </w:pPr>
    <w:rPr>
      <w:rFonts w:ascii="Times New Roman" w:eastAsia="Times New Roman" w:hAnsi="Times New Roman"/>
      <w:sz w:val="24"/>
      <w:szCs w:val="24"/>
      <w:lang w:eastAsia="es-PE"/>
    </w:rPr>
  </w:style>
  <w:style w:type="paragraph" w:styleId="Prrafodelista">
    <w:name w:val="List Paragraph"/>
    <w:basedOn w:val="Normal"/>
    <w:uiPriority w:val="34"/>
    <w:qFormat/>
    <w:rsid w:val="004C690D"/>
    <w:pPr>
      <w:spacing w:after="160" w:line="259" w:lineRule="auto"/>
      <w:ind w:left="720"/>
      <w:contextualSpacing/>
    </w:pPr>
    <w:rPr>
      <w:rFonts w:asciiTheme="minorHAnsi" w:eastAsiaTheme="minorHAnsi" w:hAnsiTheme="minorHAnsi" w:cstheme="minorBidi"/>
    </w:rPr>
  </w:style>
  <w:style w:type="character" w:styleId="Referenciaintensa">
    <w:name w:val="Intense Reference"/>
    <w:basedOn w:val="Fuentedeprrafopredeter"/>
    <w:uiPriority w:val="32"/>
    <w:qFormat/>
    <w:rsid w:val="003373FD"/>
    <w:rPr>
      <w:b/>
      <w:bCs/>
      <w:smallCaps/>
      <w:color w:val="4472C4" w:themeColor="accent1"/>
      <w:spacing w:val="5"/>
    </w:rPr>
  </w:style>
  <w:style w:type="paragraph" w:styleId="Descripcin">
    <w:name w:val="caption"/>
    <w:basedOn w:val="Normal"/>
    <w:next w:val="Normal"/>
    <w:uiPriority w:val="35"/>
    <w:unhideWhenUsed/>
    <w:qFormat/>
    <w:rsid w:val="00613444"/>
    <w:pPr>
      <w:spacing w:line="240" w:lineRule="auto"/>
    </w:pPr>
    <w:rPr>
      <w:i/>
      <w:iCs/>
      <w:color w:val="44546A" w:themeColor="text2"/>
      <w:sz w:val="18"/>
      <w:szCs w:val="18"/>
    </w:rPr>
  </w:style>
  <w:style w:type="character" w:styleId="Mencinsinresolver">
    <w:name w:val="Unresolved Mention"/>
    <w:basedOn w:val="Fuentedeprrafopredeter"/>
    <w:uiPriority w:val="99"/>
    <w:semiHidden/>
    <w:unhideWhenUsed/>
    <w:rsid w:val="002100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64035">
      <w:bodyDiv w:val="1"/>
      <w:marLeft w:val="0"/>
      <w:marRight w:val="0"/>
      <w:marTop w:val="0"/>
      <w:marBottom w:val="0"/>
      <w:divBdr>
        <w:top w:val="none" w:sz="0" w:space="0" w:color="auto"/>
        <w:left w:val="none" w:sz="0" w:space="0" w:color="auto"/>
        <w:bottom w:val="none" w:sz="0" w:space="0" w:color="auto"/>
        <w:right w:val="none" w:sz="0" w:space="0" w:color="auto"/>
      </w:divBdr>
      <w:divsChild>
        <w:div w:id="578246874">
          <w:marLeft w:val="0"/>
          <w:marRight w:val="0"/>
          <w:marTop w:val="0"/>
          <w:marBottom w:val="0"/>
          <w:divBdr>
            <w:top w:val="none" w:sz="0" w:space="0" w:color="auto"/>
            <w:left w:val="none" w:sz="0" w:space="0" w:color="auto"/>
            <w:bottom w:val="none" w:sz="0" w:space="0" w:color="auto"/>
            <w:right w:val="none" w:sz="0" w:space="0" w:color="auto"/>
          </w:divBdr>
          <w:divsChild>
            <w:div w:id="1583028714">
              <w:marLeft w:val="0"/>
              <w:marRight w:val="0"/>
              <w:marTop w:val="0"/>
              <w:marBottom w:val="0"/>
              <w:divBdr>
                <w:top w:val="none" w:sz="0" w:space="0" w:color="auto"/>
                <w:left w:val="none" w:sz="0" w:space="0" w:color="auto"/>
                <w:bottom w:val="none" w:sz="0" w:space="0" w:color="auto"/>
                <w:right w:val="none" w:sz="0" w:space="0" w:color="auto"/>
              </w:divBdr>
              <w:divsChild>
                <w:div w:id="1626502745">
                  <w:marLeft w:val="-225"/>
                  <w:marRight w:val="-225"/>
                  <w:marTop w:val="0"/>
                  <w:marBottom w:val="0"/>
                  <w:divBdr>
                    <w:top w:val="none" w:sz="0" w:space="0" w:color="auto"/>
                    <w:left w:val="none" w:sz="0" w:space="0" w:color="auto"/>
                    <w:bottom w:val="none" w:sz="0" w:space="0" w:color="auto"/>
                    <w:right w:val="none" w:sz="0" w:space="0" w:color="auto"/>
                  </w:divBdr>
                  <w:divsChild>
                    <w:div w:id="181406246">
                      <w:marLeft w:val="0"/>
                      <w:marRight w:val="0"/>
                      <w:marTop w:val="0"/>
                      <w:marBottom w:val="0"/>
                      <w:divBdr>
                        <w:top w:val="none" w:sz="0" w:space="0" w:color="auto"/>
                        <w:left w:val="none" w:sz="0" w:space="0" w:color="auto"/>
                        <w:bottom w:val="none" w:sz="0" w:space="0" w:color="auto"/>
                        <w:right w:val="none" w:sz="0" w:space="0" w:color="auto"/>
                      </w:divBdr>
                      <w:divsChild>
                        <w:div w:id="1778064347">
                          <w:marLeft w:val="0"/>
                          <w:marRight w:val="0"/>
                          <w:marTop w:val="0"/>
                          <w:marBottom w:val="0"/>
                          <w:divBdr>
                            <w:top w:val="none" w:sz="0" w:space="0" w:color="auto"/>
                            <w:left w:val="none" w:sz="0" w:space="0" w:color="auto"/>
                            <w:bottom w:val="none" w:sz="0" w:space="0" w:color="auto"/>
                            <w:right w:val="none" w:sz="0" w:space="0" w:color="auto"/>
                          </w:divBdr>
                        </w:div>
                        <w:div w:id="1117215097">
                          <w:marLeft w:val="0"/>
                          <w:marRight w:val="0"/>
                          <w:marTop w:val="0"/>
                          <w:marBottom w:val="0"/>
                          <w:divBdr>
                            <w:top w:val="none" w:sz="0" w:space="0" w:color="auto"/>
                            <w:left w:val="none" w:sz="0" w:space="0" w:color="auto"/>
                            <w:bottom w:val="none" w:sz="0" w:space="0" w:color="auto"/>
                            <w:right w:val="none" w:sz="0" w:space="0" w:color="auto"/>
                          </w:divBdr>
                          <w:divsChild>
                            <w:div w:id="403181604">
                              <w:marLeft w:val="0"/>
                              <w:marRight w:val="0"/>
                              <w:marTop w:val="0"/>
                              <w:marBottom w:val="0"/>
                              <w:divBdr>
                                <w:top w:val="none" w:sz="0" w:space="0" w:color="auto"/>
                                <w:left w:val="none" w:sz="0" w:space="0" w:color="auto"/>
                                <w:bottom w:val="none" w:sz="0" w:space="0" w:color="auto"/>
                                <w:right w:val="none" w:sz="0" w:space="0" w:color="auto"/>
                              </w:divBdr>
                              <w:divsChild>
                                <w:div w:id="628121707">
                                  <w:marLeft w:val="0"/>
                                  <w:marRight w:val="0"/>
                                  <w:marTop w:val="0"/>
                                  <w:marBottom w:val="0"/>
                                  <w:divBdr>
                                    <w:top w:val="none" w:sz="0" w:space="0" w:color="auto"/>
                                    <w:left w:val="none" w:sz="0" w:space="0" w:color="auto"/>
                                    <w:bottom w:val="none" w:sz="0" w:space="0" w:color="auto"/>
                                    <w:right w:val="none" w:sz="0" w:space="0" w:color="auto"/>
                                  </w:divBdr>
                                </w:div>
                                <w:div w:id="1216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quedas.elperuano.pe/normaslegales/aprueban-lineamientos-para-la-presentacion-y-calificacion-d-res-n-085-2014-sunarpdtr-1182122-1/" TargetMode="External"/><Relationship Id="rId3" Type="http://schemas.openxmlformats.org/officeDocument/2006/relationships/styles" Target="styles.xml"/><Relationship Id="rId7"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narp.gob.pe/viewdocument.asp?RutaFile=Contenido_Documentos\DOCUMENTO_CONTENIDO\377_183815&amp;NombreFile=Central+Resoluci%C3%B3n+039-2013-SN%2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5F48-B363-4819-90E0-D9AAC244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Sanchez Rosalynn</dc:creator>
  <cp:keywords/>
  <dc:description/>
  <cp:lastModifiedBy>Mendez Bendezu Roxana Vanesa</cp:lastModifiedBy>
  <cp:revision>2</cp:revision>
  <cp:lastPrinted>2018-09-20T20:55:00Z</cp:lastPrinted>
  <dcterms:created xsi:type="dcterms:W3CDTF">2018-09-20T20:57:00Z</dcterms:created>
  <dcterms:modified xsi:type="dcterms:W3CDTF">2018-09-20T20:57:00Z</dcterms:modified>
</cp:coreProperties>
</file>